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af"/>
        <w:shd w:val="clear" w:color="auto" w:fill="ffffff"/>
        <w:spacing w:before="0" w:beforeAutospacing="0" w:after="360" w:afterAutospacing="0" w:line="384" w:lineRule="atLeast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bookmarkStart w:id="0" w:name="_GoBack"/>
      <w:bookmarkEnd w:id="0"/>
    </w:p>
    <w:p>
      <w:pPr>
        <w:spacing w:after="0" w:line="360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Как </w:t>
      </w:r>
      <w:r>
        <w:rPr>
          <w:rFonts w:ascii="Times New Roman" w:hAnsi="Times New Roman" w:cs="Times New Roman"/>
          <w:b/>
          <w:sz w:val="28"/>
          <w:szCs w:val="28"/>
        </w:rPr>
        <w:t xml:space="preserve">пени за несвоевременную оплату могут увеличить </w:t>
      </w:r>
      <w:r>
        <w:rPr>
          <w:rFonts w:ascii="Times New Roman" w:hAnsi="Times New Roman" w:cs="Times New Roman"/>
          <w:b/>
          <w:sz w:val="28"/>
          <w:szCs w:val="28"/>
        </w:rPr>
        <w:t xml:space="preserve">коммунальный счёт</w:t>
      </w:r>
    </w:p>
    <w:p>
      <w:pPr>
        <w:spacing w:after="0" w:line="360" w:lineRule="auto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202</w:t>
      </w:r>
      <w:r>
        <w:rPr>
          <w:rFonts w:ascii="Times New Roman" w:hAnsi="Times New Roman" w:cs="Times New Roman"/>
          <w:bCs/>
          <w:sz w:val="24"/>
          <w:szCs w:val="24"/>
        </w:rPr>
        <w:t xml:space="preserve">2</w:t>
      </w:r>
      <w:r>
        <w:rPr>
          <w:rFonts w:ascii="Times New Roman" w:hAnsi="Times New Roman" w:cs="Times New Roman"/>
          <w:bCs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Правительств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 Р</w:t>
      </w:r>
      <w:r>
        <w:rPr>
          <w:rFonts w:ascii="Times New Roman" w:hAnsi="Times New Roman" w:cs="Times New Roman"/>
          <w:sz w:val="24"/>
          <w:szCs w:val="24"/>
        </w:rPr>
        <w:t xml:space="preserve">оссийской </w:t>
      </w:r>
      <w:r>
        <w:rPr>
          <w:rFonts w:ascii="Times New Roman" w:hAnsi="Times New Roman" w:cs="Times New Roman"/>
          <w:sz w:val="24"/>
          <w:szCs w:val="24"/>
        </w:rPr>
        <w:t xml:space="preserve">Ф</w:t>
      </w:r>
      <w:r>
        <w:rPr>
          <w:rFonts w:ascii="Times New Roman" w:hAnsi="Times New Roman" w:cs="Times New Roman"/>
          <w:sz w:val="24"/>
          <w:szCs w:val="24"/>
        </w:rPr>
        <w:t xml:space="preserve">едерации ограничило размер пени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</w:t>
      </w:r>
      <w:r>
        <w:rPr>
          <w:rFonts w:ascii="Times New Roman" w:hAnsi="Times New Roman" w:cs="Times New Roman"/>
          <w:sz w:val="24"/>
          <w:szCs w:val="24"/>
        </w:rPr>
        <w:t xml:space="preserve"> несвоевременную и неполную </w:t>
      </w:r>
      <w:r>
        <w:rPr>
          <w:rFonts w:ascii="Times New Roman" w:hAnsi="Times New Roman" w:cs="Times New Roman"/>
          <w:sz w:val="24"/>
          <w:szCs w:val="24"/>
        </w:rPr>
        <w:t xml:space="preserve">оплату </w:t>
      </w:r>
      <w:r>
        <w:rPr>
          <w:rFonts w:ascii="Times New Roman" w:hAnsi="Times New Roman" w:cs="Times New Roman"/>
          <w:sz w:val="24"/>
          <w:szCs w:val="24"/>
        </w:rPr>
        <w:t xml:space="preserve">ЖКУ  и</w:t>
      </w:r>
      <w:r>
        <w:rPr>
          <w:rFonts w:ascii="Times New Roman" w:hAnsi="Times New Roman" w:cs="Times New Roman"/>
          <w:sz w:val="24"/>
          <w:szCs w:val="24"/>
        </w:rPr>
        <w:t xml:space="preserve"> взноса на капремонт</w:t>
      </w:r>
      <w:r>
        <w:rPr>
          <w:rFonts w:ascii="Times New Roman" w:hAnsi="Times New Roman" w:cs="Times New Roman"/>
          <w:sz w:val="24"/>
          <w:szCs w:val="24"/>
        </w:rPr>
        <w:t xml:space="preserve">. П</w:t>
      </w:r>
      <w:r>
        <w:rPr>
          <w:rFonts w:ascii="Times New Roman" w:hAnsi="Times New Roman" w:cs="Times New Roman"/>
          <w:sz w:val="24"/>
          <w:szCs w:val="24"/>
        </w:rPr>
        <w:t xml:space="preserve">ени на сумму долга начислялись по фиксированной ключевой ставк</w:t>
      </w:r>
      <w:r>
        <w:rPr>
          <w:rFonts w:ascii="Times New Roman" w:hAnsi="Times New Roman" w:cs="Times New Roman"/>
          <w:sz w:val="24"/>
          <w:szCs w:val="24"/>
        </w:rPr>
        <w:t xml:space="preserve">е</w:t>
      </w:r>
      <w:r>
        <w:rPr>
          <w:rFonts w:ascii="Times New Roman" w:hAnsi="Times New Roman" w:cs="Times New Roman"/>
          <w:sz w:val="24"/>
          <w:szCs w:val="24"/>
        </w:rPr>
        <w:t xml:space="preserve"> 9,5% (ПП РФ</w:t>
      </w:r>
      <w:r>
        <w:rPr>
          <w:rFonts w:ascii="Times New Roman" w:hAnsi="Times New Roman" w:cs="Times New Roman"/>
          <w:sz w:val="24"/>
          <w:szCs w:val="24"/>
        </w:rPr>
        <w:t xml:space="preserve"> от 26.03.2022 № 474).</w:t>
      </w:r>
    </w:p>
    <w:p>
      <w:pPr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января 2025 года это ограничение больше не применяется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при начислении пени </w:t>
      </w:r>
      <w:r>
        <w:rPr>
          <w:rFonts w:ascii="Times New Roman" w:hAnsi="Times New Roman" w:cs="Times New Roman"/>
          <w:sz w:val="24"/>
          <w:szCs w:val="24"/>
        </w:rPr>
        <w:t xml:space="preserve">учитывается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текущая </w:t>
      </w:r>
      <w:r>
        <w:rPr>
          <w:rFonts w:ascii="Times New Roman" w:hAnsi="Times New Roman" w:cs="Times New Roman"/>
          <w:sz w:val="24"/>
          <w:szCs w:val="24"/>
        </w:rPr>
        <w:t xml:space="preserve">ключевая ставка ЦБ РФ. В настоящий момент </w:t>
      </w:r>
      <w:r>
        <w:rPr>
          <w:rFonts w:ascii="Times New Roman" w:hAnsi="Times New Roman" w:cs="Times New Roman"/>
          <w:sz w:val="24"/>
          <w:szCs w:val="24"/>
        </w:rPr>
        <w:t xml:space="preserve">ее </w:t>
      </w:r>
      <w:r>
        <w:rPr>
          <w:rFonts w:ascii="Times New Roman" w:hAnsi="Times New Roman" w:cs="Times New Roman"/>
          <w:sz w:val="24"/>
          <w:szCs w:val="24"/>
        </w:rPr>
        <w:t xml:space="preserve">размер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21%.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>
      <w:pPr>
        <w:pStyle w:val="af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</w:rPr>
        <w:t xml:space="preserve">К</w:t>
      </w:r>
      <w:r>
        <w:rPr>
          <w:rFonts w:ascii="Times New Roman" w:hAnsi="Times New Roman" w:cs="Times New Roman"/>
          <w:b/>
          <w:color w:val="333333"/>
          <w:sz w:val="24"/>
          <w:szCs w:val="24"/>
        </w:rPr>
        <w:t xml:space="preserve">ак начисляются пени.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 Р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екомендованный срок оплаты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ЖКУ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- до 10 числа месяца, следующего за расчетным, если иное не установлено договором управления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многоквартирным домом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.</w:t>
      </w:r>
    </w:p>
    <w:p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Если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счет вовремя не оплачен или оплачен не полностью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начиная 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31 дн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 просрочки платежа поставщики –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управляющие или ресурсоснабжающие организации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– могут принять решение о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начи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слении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пени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</w:p>
    <w:p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Пени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начисляются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 каждый день просрочки в процентах от суммы платежа. В первые три месяца это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1/300 ставки рефинансирования</w:t>
      </w:r>
      <w:r>
        <w:rPr>
          <w:rFonts w:ascii="Times New Roman" w:hAnsi="Times New Roman" w:cs="Times New Roman"/>
          <w:sz w:val="24"/>
          <w:szCs w:val="24"/>
        </w:rPr>
        <w:t xml:space="preserve"> ЦБ,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91 дня просрочки 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 1/130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ставки.</w:t>
      </w:r>
    </w:p>
    <w:p>
      <w:pPr>
        <w:pStyle w:val="af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</w:rPr>
        <w:t xml:space="preserve">Как </w:t>
      </w:r>
      <w:r>
        <w:rPr>
          <w:rFonts w:ascii="Times New Roman" w:hAnsi="Times New Roman" w:cs="Times New Roman"/>
          <w:b/>
          <w:color w:val="333333"/>
          <w:sz w:val="24"/>
          <w:szCs w:val="24"/>
        </w:rPr>
        <w:t xml:space="preserve">не удорожать платеж</w:t>
      </w:r>
      <w:r>
        <w:rPr>
          <w:rFonts w:ascii="Times New Roman" w:hAnsi="Times New Roman" w:cs="Times New Roman"/>
          <w:b/>
          <w:color w:val="333333"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Чем дольше не оплачен счет, тем больше пени.</w:t>
      </w:r>
      <w:r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Каждый день просроченного платежа увеличивает итогов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ую сумму к оплате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. </w:t>
      </w:r>
    </w:p>
    <w:p>
      <w:pPr>
        <w:pStyle w:val="af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В платежных документах МосОблЕИРЦ указаны рекоменд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ованные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сроки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и способы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оплаты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ЖКУ.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>
      <w:pPr>
        <w:pStyle w:val="af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>
      <w:pPr>
        <w:pStyle w:val="af"/>
        <w:spacing w:before="0" w:beforeAutospacing="0" w:after="0" w:afterAutospacing="0" w:line="360" w:lineRule="auto"/>
        <w:ind w:firstLine="709"/>
        <w:jc w:val="right"/>
        <w:rPr>
          <w:rFonts w:ascii="Times New Roman" w:hAnsi="Times New Roman" w:eastAsia="Calibri" w:cs="Times New Roman"/>
          <w:b/>
          <w:bCs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333333"/>
          <w:sz w:val="24"/>
          <w:szCs w:val="24"/>
        </w:rPr>
        <w:t xml:space="preserve">Служба корпоративных коммуникаций</w:t>
      </w:r>
    </w:p>
    <w:sectPr>
      <w:headerReference w:type="default" r:id="rId9"/>
      <w:pgSz w:w="11906" w:h="16838"/>
      <w:pgMar w:top="567" w:right="851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PT Astra Serif">
    <w:panose1 w:val="020A0603040505020204"/>
  </w:font>
  <w:font w:name="Calibri">
    <w:panose1 w:val="020F0502020204030204"/>
  </w:font>
  <w:font w:name="Times New Roman">
    <w:panose1 w:val="02020603050405020304"/>
  </w:font>
  <w:font w:name="Courier New">
    <w:panose1 w:val="02070409020205020404"/>
  </w:font>
  <w:font w:name="Segoe UI">
    <w:panose1 w:val="020B0502040504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a"/>
    </w:pPr>
  </w:p>
  <w:p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04190001">
      <w:start w:val="1"/>
      <w:numFmt w:val="bullet"/>
      <w:lvlText w:val=""/>
      <w:lvlJc w:val="left"/>
      <w:pPr>
        <w:ind w:left="1488" w:hanging="360"/>
      </w:pPr>
      <w:rPr>
        <w:rFonts w:hint="default" w:ascii="Symbol" w:hAnsi="Symbol"/>
      </w:rPr>
    </w:lvl>
    <w:lvl w:ilvl="1" w:tentative="1" w:tplc="04190003">
      <w:start w:val="1"/>
      <w:numFmt w:val="bullet"/>
      <w:lvlText w:val="o"/>
      <w:lvlJc w:val="left"/>
      <w:pPr>
        <w:ind w:left="2208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928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3648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4368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5088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808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6528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7248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 w:tplc="3AEA8B9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 w:tplc="0419000D">
      <w:start w:val="1"/>
      <w:numFmt w:val="bullet"/>
      <w:lvlText w:val=""/>
      <w:lvlJc w:val="left"/>
      <w:pPr>
        <w:ind w:left="780" w:hanging="360"/>
      </w:pPr>
      <w:rPr>
        <w:rFonts w:hint="default" w:ascii="Wingdings" w:hAnsi="Wingdings"/>
      </w:rPr>
    </w:lvl>
    <w:lvl w:ilvl="1" w:tentative="1" w:tplc="04190003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trackedChange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pBdr>
        <w:top w:val="none"/>
        <w:left w:val="none"/>
        <w:bottom w:val="none"/>
        <w:right w:val="none"/>
        <w:between w:val="none"/>
      </w:pBdr>
      <w:spacing w:before="480" w:after="0" w:line="276" w:lineRule="auto"/>
      <w:outlineLvl w:val="0"/>
    </w:pPr>
    <w:rPr>
      <w:rFonts w:asciiTheme="majorHAnsi" w:hAnsiTheme="majorHAnsi" w:eastAsiaTheme="majorEastAsia" w:cstheme="majorBidi"/>
      <w:b/>
      <w:bCs/>
      <w:color w:val="2d4f8e" w:themeColor="accent1" w:themeShade="B5"/>
      <w:sz w:val="32"/>
      <w:szCs w:val="32"/>
      <w:lang w:eastAsia="ru-RU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5" w:customStyle="1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11" w:customStyle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table" w:styleId="a7">
    <w:name w:val="Table Grid"/>
    <w:basedOn w:val="a1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8">
    <w:name w:val="Plain Text"/>
    <w:basedOn w:val="a"/>
    <w:link w:val="a9"/>
    <w:uiPriority w:val="99"/>
    <w:pPr>
      <w:spacing w:after="0" w:line="240" w:lineRule="auto"/>
    </w:pPr>
    <w:rPr>
      <w:rFonts w:ascii="Courier New" w:hAnsi="Courier New" w:eastAsia="Times New Roman" w:cs="Times New Roman"/>
      <w:sz w:val="20"/>
      <w:szCs w:val="20"/>
      <w:lang w:eastAsia="ru-RU"/>
    </w:rPr>
  </w:style>
  <w:style w:type="character" w:styleId="a9" w:customStyle="1">
    <w:name w:val="Текст Знак"/>
    <w:basedOn w:val="a0"/>
    <w:link w:val="a8"/>
    <w:uiPriority w:val="99"/>
    <w:rPr>
      <w:rFonts w:ascii="Courier New" w:hAnsi="Courier New" w:eastAsia="Times New Roman" w:cs="Times New Roman"/>
      <w:sz w:val="20"/>
      <w:szCs w:val="20"/>
      <w:lang w:eastAsia="ru-RU"/>
    </w:rPr>
  </w:style>
  <w:style w:type="character" w:styleId="2" w:customStyle="1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b" w:customStyle="1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d" w:customStyle="1">
    <w:name w:val="Нижний колонтитул Знак"/>
    <w:basedOn w:val="a0"/>
    <w:link w:val="ac"/>
    <w:uiPriority w:val="99"/>
  </w:style>
  <w:style w:type="paragraph" w:styleId="ae">
    <w:name w:val="No Spacing"/>
    <w:uiPriority w:val="1"/>
    <w:qFormat/>
    <w:pPr>
      <w:spacing w:after="0" w:line="240" w:lineRule="auto"/>
    </w:pPr>
  </w:style>
  <w:style w:type="character" w:styleId="10" w:customStyle="1">
    <w:name w:val="Заголовок 1 Знак"/>
    <w:basedOn w:val="a0"/>
    <w:link w:val="1"/>
    <w:uiPriority w:val="9"/>
    <w:rPr>
      <w:rFonts w:asciiTheme="majorHAnsi" w:hAnsiTheme="majorHAnsi" w:eastAsiaTheme="majorEastAsia" w:cstheme="majorBidi"/>
      <w:b/>
      <w:bCs/>
      <w:color w:val="2d4f8e" w:themeColor="accent1" w:themeShade="B5"/>
      <w:sz w:val="32"/>
      <w:szCs w:val="32"/>
      <w:lang w:eastAsia="ru-RU"/>
    </w:rPr>
  </w:style>
  <w:style w:type="paragraph" w:styleId="af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Calibri" w:hAnsi="Calibri" w:cs="Calibri"/>
      <w:lang w:eastAsia="ru-RU"/>
    </w:rPr>
  </w:style>
  <w:style w:type="paragraph" w:styleId="Firstlineindent" w:customStyle="1">
    <w:name w:val="First line indent"/>
    <w:basedOn w:val="a"/>
    <w:pPr>
      <w:widowControl w:val="off"/>
      <w:spacing w:after="0" w:line="240" w:lineRule="auto"/>
    </w:pPr>
    <w:rPr>
      <w:rFonts w:ascii="PT Astra Serif" w:hAnsi="PT Astra Serif" w:eastAsia="PT Astra Serif" w:cs="PT Astra Serif"/>
      <w:color w:val="000000"/>
      <w:sz w:val="28"/>
      <w:lang w:eastAsia="ru-RU"/>
    </w:rPr>
  </w:style>
  <w:style w:type="character" w:styleId="3" w:customStyle="1">
    <w:name w:val="Неразрешенное упоминание3"/>
    <w:basedOn w:val="a0"/>
    <w:uiPriority w:val="99"/>
    <w:semiHidden/>
    <w:unhideWhenUsed/>
    <w:rPr>
      <w:color w:val="605e5c"/>
      <w:shd w:val="clear" w:color="auto" w:fill="e1dfdd"/>
    </w:rPr>
  </w:style>
  <w:style w:type="paragraph" w:styleId="selected" w:customStyle="1">
    <w:name w:val="selected"/>
    <w:basedOn w:val="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af2" w:customStyle="1">
    <w:name w:val="Текст примечания Знак"/>
    <w:basedOn w:val="a0"/>
    <w:link w:val="af1"/>
    <w:uiPriority w:val="99"/>
    <w:semiHidden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Pr>
      <w:b/>
      <w:bCs/>
    </w:rPr>
  </w:style>
  <w:style w:type="character" w:styleId="af4" w:customStyle="1">
    <w:name w:val="Тема примечания Знак"/>
    <w:basedOn w:val="af2"/>
    <w:link w:val="af3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5A66F-EBB9-464C-AC73-0CFDAF1D6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haracters>1075</Characters>
  <CharactersWithSpaces>1261</CharactersWithSpaces>
  <Company/>
  <DocSecurity>4</DocSecurity>
  <HyperlinksChanged>false</HyperlinksChanged>
  <Lines>8</Lines>
  <LinksUpToDate>false</LinksUpToDate>
  <Pages>1</Pages>
  <Paragraphs>2</Paragraphs>
  <ScaleCrop>false</ScaleCrop>
  <SharedDoc>false</SharedDoc>
  <Template>Normal.dotm</Template>
  <TotalTime>0</TotalTime>
  <Words>188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Янкина Марьяна Андреевна</dc:creator>
  <cp:keywords/>
  <dc:description/>
  <cp:lastModifiedBy>Заботин Евгений Александрович</cp:lastModifiedBy>
  <cp:revision>2</cp:revision>
  <cp:lastPrinted>2023-01-17T08:36:00Z</cp:lastPrinted>
  <dcterms:created xsi:type="dcterms:W3CDTF">2025-01-23T08:42:00Z</dcterms:created>
  <dcterms:modified xsi:type="dcterms:W3CDTF">2025-01-23T08:42:00Z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OwnerUserId">
    <vt:lpwstr>Gladkova_ON</vt:lpwstr>
  </property>
  <property fmtid="{D5CDD505-2E9C-101B-9397-08002B2CF9AE}" pid="3" name="MacrosVersion">
    <vt:lpwstr>1.3</vt:lpwstr>
  </property>
  <property fmtid="{D5CDD505-2E9C-101B-9397-08002B2CF9AE}" pid="4" name="CustomObjectId">
    <vt:lpwstr/>
  </property>
  <property fmtid="{D5CDD505-2E9C-101B-9397-08002B2CF9AE}" pid="5" name="CustomServerURL">
    <vt:lpwstr/>
  </property>
  <property fmtid="{D5CDD505-2E9C-101B-9397-08002B2CF9AE}" pid="6" name="serverUrlMacrosCheckIn">
    <vt:lpwstr/>
  </property>
  <property fmtid="{D5CDD505-2E9C-101B-9397-08002B2CF9AE}" pid="7" name="CustomUserId">
    <vt:lpwstr/>
  </property>
  <property fmtid="{D5CDD505-2E9C-101B-9397-08002B2CF9AE}" pid="8" name="CustomObjectState">
    <vt:lpwstr/>
  </property>
  <property fmtid="{D5CDD505-2E9C-101B-9397-08002B2CF9AE}" pid="9" name="MacrosDisabled">
    <vt:lpwstr/>
  </property>
  <property fmtid="{D5CDD505-2E9C-101B-9397-08002B2CF9AE}" pid="10" name="ConfirmationToolBarEnabled">
    <vt:lpwstr/>
  </property>
  <property fmtid="{D5CDD505-2E9C-101B-9397-08002B2CF9AE}" pid="11" name="localFileProperties">
    <vt:lpwstr/>
  </property>
  <property fmtid="{D5CDD505-2E9C-101B-9397-08002B2CF9AE}" pid="12" name="magic_key">
    <vt:lpwstr/>
  </property>
</Properties>
</file>